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50" w:rsidRDefault="00157417" w:rsidP="007078A0">
      <w:pPr>
        <w:jc w:val="center"/>
        <w:rPr>
          <w:sz w:val="28"/>
          <w:szCs w:val="28"/>
        </w:rPr>
      </w:pPr>
      <w:bookmarkStart w:id="0" w:name="_GoBack"/>
      <w:bookmarkEnd w:id="0"/>
      <w:r>
        <w:rPr>
          <w:sz w:val="28"/>
          <w:szCs w:val="28"/>
        </w:rPr>
        <w:t>2019</w:t>
      </w:r>
      <w:r w:rsidR="007078A0">
        <w:rPr>
          <w:sz w:val="28"/>
          <w:szCs w:val="28"/>
        </w:rPr>
        <w:t xml:space="preserve"> CHP Template Updates</w:t>
      </w:r>
    </w:p>
    <w:p w:rsidR="00B377B9" w:rsidRPr="00FD29E6" w:rsidRDefault="00157417" w:rsidP="007078A0">
      <w:pPr>
        <w:rPr>
          <w:rFonts w:cstheme="minorHAnsi"/>
          <w:color w:val="000000"/>
        </w:rPr>
      </w:pPr>
      <w:r w:rsidRPr="00FD29E6">
        <w:rPr>
          <w:rFonts w:cstheme="minorHAnsi"/>
          <w:color w:val="000000"/>
        </w:rPr>
        <w:t>2019</w:t>
      </w:r>
      <w:r w:rsidR="007078A0" w:rsidRPr="00FD29E6">
        <w:rPr>
          <w:rFonts w:cstheme="minorHAnsi"/>
          <w:color w:val="000000"/>
        </w:rPr>
        <w:t xml:space="preserve"> template </w:t>
      </w:r>
      <w:r w:rsidR="00F870D7" w:rsidRPr="00FD29E6">
        <w:rPr>
          <w:rFonts w:cstheme="minorHAnsi"/>
          <w:color w:val="000000"/>
        </w:rPr>
        <w:t xml:space="preserve">and this document </w:t>
      </w:r>
      <w:r w:rsidR="007078A0" w:rsidRPr="00FD29E6">
        <w:rPr>
          <w:rFonts w:cstheme="minorHAnsi"/>
          <w:color w:val="000000"/>
        </w:rPr>
        <w:t>can be found here</w:t>
      </w:r>
      <w:r w:rsidR="00072A17" w:rsidRPr="00FD29E6">
        <w:rPr>
          <w:rFonts w:cstheme="minorHAnsi"/>
          <w:color w:val="000000"/>
        </w:rPr>
        <w:t xml:space="preserve"> </w:t>
      </w:r>
    </w:p>
    <w:p w:rsidR="007078A0" w:rsidRPr="00FD29E6" w:rsidRDefault="00FF6197" w:rsidP="007078A0">
      <w:pPr>
        <w:rPr>
          <w:rFonts w:cstheme="minorHAnsi"/>
          <w:color w:val="000000"/>
        </w:rPr>
      </w:pPr>
      <w:hyperlink r:id="rId5" w:history="1">
        <w:r w:rsidR="00B377B9" w:rsidRPr="00FD29E6">
          <w:rPr>
            <w:rStyle w:val="Hyperlink"/>
            <w:rFonts w:cstheme="minorHAnsi"/>
          </w:rPr>
          <w:t>https://ehs.mit.edu/site/chemical-safety/chemical-hygiene-program/plan-template</w:t>
        </w:r>
      </w:hyperlink>
      <w:r w:rsidR="00B377B9" w:rsidRPr="00FD29E6">
        <w:rPr>
          <w:rFonts w:cstheme="minorHAnsi"/>
          <w:color w:val="000000"/>
        </w:rPr>
        <w:t xml:space="preserve"> </w:t>
      </w:r>
    </w:p>
    <w:p w:rsidR="005E6221" w:rsidRDefault="005E6221" w:rsidP="007078A0">
      <w:pPr>
        <w:rPr>
          <w:rFonts w:cstheme="minorHAnsi"/>
          <w:b/>
        </w:rPr>
      </w:pPr>
    </w:p>
    <w:p w:rsidR="003A2717" w:rsidRPr="00FD29E6" w:rsidRDefault="003A2717" w:rsidP="007078A0">
      <w:pPr>
        <w:rPr>
          <w:rFonts w:cstheme="minorHAnsi"/>
          <w:b/>
        </w:rPr>
      </w:pPr>
      <w:r w:rsidRPr="00FD29E6">
        <w:rPr>
          <w:rFonts w:cstheme="minorHAnsi"/>
          <w:b/>
        </w:rPr>
        <w:t>P. 23 Part II</w:t>
      </w:r>
    </w:p>
    <w:p w:rsidR="003A2717" w:rsidRPr="00FD29E6" w:rsidRDefault="003A2717" w:rsidP="003A2717">
      <w:pPr>
        <w:pStyle w:val="CHP32"/>
        <w:numPr>
          <w:ilvl w:val="2"/>
          <w:numId w:val="11"/>
        </w:numPr>
        <w:adjustRightInd w:val="0"/>
        <w:rPr>
          <w:rFonts w:asciiTheme="minorHAnsi" w:hAnsiTheme="minorHAnsi" w:cstheme="minorHAnsi"/>
          <w:sz w:val="22"/>
          <w:szCs w:val="22"/>
        </w:rPr>
      </w:pPr>
      <w:r w:rsidRPr="00FD29E6">
        <w:rPr>
          <w:rFonts w:asciiTheme="minorHAnsi" w:hAnsiTheme="minorHAnsi" w:cstheme="minorHAnsi"/>
          <w:sz w:val="22"/>
          <w:szCs w:val="22"/>
        </w:rPr>
        <w:t>Establish and follow safe chemical storage procedures for your laboratory.</w:t>
      </w:r>
    </w:p>
    <w:p w:rsidR="005E6221" w:rsidRPr="005E6221" w:rsidRDefault="005E6221" w:rsidP="005E6221">
      <w:pPr>
        <w:rPr>
          <w:rFonts w:cstheme="minorHAnsi"/>
          <w:b/>
        </w:rPr>
      </w:pPr>
      <w:r w:rsidRPr="005E6221">
        <w:rPr>
          <w:rFonts w:cstheme="minorHAnsi"/>
          <w:b/>
        </w:rPr>
        <w:t>New Wording</w:t>
      </w:r>
    </w:p>
    <w:p w:rsidR="00B772B5" w:rsidRPr="00FD29E6" w:rsidRDefault="00B772B5" w:rsidP="00B772B5">
      <w:pPr>
        <w:rPr>
          <w:rFonts w:cstheme="minorHAnsi"/>
        </w:rPr>
      </w:pPr>
      <w:r w:rsidRPr="00FD29E6">
        <w:rPr>
          <w:rFonts w:cstheme="minorHAnsi"/>
        </w:rPr>
        <w:t xml:space="preserve">For refrigerated storage of chemicals, ensure refrigeration equipment is selected properly for the types of materials to be stored. Temperature-sensitive, Flammable chemicals with a flashpoint of 140 °F or less (GHS flame pictogram) must be stored in a refrigerator/freezer that has a spark free interior and that is UL or FM approved for flammable storage. The sparks from the components in a household-type refrigerator/freezer could ignite flammable vapors and cause a fire or explosion. For more details, refer to </w:t>
      </w:r>
      <w:hyperlink r:id="rId6" w:history="1">
        <w:r w:rsidRPr="00FD29E6">
          <w:rPr>
            <w:rStyle w:val="Hyperlink"/>
            <w:rFonts w:cstheme="minorHAnsi"/>
          </w:rPr>
          <w:t>https://ehs.mit.edu/site/refrigerators-safe-flammable-storage</w:t>
        </w:r>
      </w:hyperlink>
      <w:r w:rsidRPr="00FD29E6">
        <w:rPr>
          <w:rFonts w:cstheme="minorHAnsi"/>
        </w:rPr>
        <w:t xml:space="preserve"> </w:t>
      </w:r>
      <w:r w:rsidR="008A4057" w:rsidRPr="00FD29E6">
        <w:rPr>
          <w:rFonts w:cstheme="minorHAnsi"/>
        </w:rPr>
        <w:t>Food should never be kept in refrigerators used for chemical storage.</w:t>
      </w:r>
    </w:p>
    <w:p w:rsidR="00B772B5" w:rsidRPr="00FD29E6" w:rsidRDefault="003A2717" w:rsidP="007078A0">
      <w:pPr>
        <w:rPr>
          <w:rFonts w:cstheme="minorHAnsi"/>
          <w:b/>
        </w:rPr>
      </w:pPr>
      <w:r w:rsidRPr="00FD29E6">
        <w:rPr>
          <w:rFonts w:cstheme="minorHAnsi"/>
          <w:b/>
        </w:rPr>
        <w:t xml:space="preserve">Old Wording </w:t>
      </w:r>
    </w:p>
    <w:p w:rsidR="003A2717" w:rsidRPr="00FD29E6" w:rsidRDefault="003A2717" w:rsidP="007078A0">
      <w:pPr>
        <w:rPr>
          <w:rFonts w:cstheme="minorHAnsi"/>
        </w:rPr>
      </w:pPr>
      <w:r w:rsidRPr="00FD29E6">
        <w:rPr>
          <w:rFonts w:cstheme="minorHAnsi"/>
        </w:rPr>
        <w:t xml:space="preserve">For refrigerated storage of chemicals, ensure refrigeration equipment is selected properly for the types of materials to be stored.  For flammable or explosive chemicals, special refrigerators are required. See flammables and explosives section below. Food should never be kept in refrigerators used for chemical storage.  </w:t>
      </w:r>
    </w:p>
    <w:p w:rsidR="006A3E67" w:rsidRDefault="00C7265C" w:rsidP="007078A0">
      <w:pPr>
        <w:rPr>
          <w:rFonts w:cstheme="minorHAnsi"/>
          <w:b/>
        </w:rPr>
      </w:pPr>
      <w:r>
        <w:rPr>
          <w:rFonts w:cstheme="minorHAnsi"/>
          <w:b/>
        </w:rPr>
        <w:t xml:space="preserve">P.32 Part II </w:t>
      </w:r>
    </w:p>
    <w:p w:rsidR="00C7265C" w:rsidRDefault="007330AD" w:rsidP="007078A0">
      <w:pPr>
        <w:rPr>
          <w:rFonts w:cstheme="minorHAnsi"/>
          <w:b/>
        </w:rPr>
      </w:pPr>
      <w:r>
        <w:rPr>
          <w:rFonts w:cstheme="minorHAnsi"/>
          <w:b/>
        </w:rPr>
        <w:t>N</w:t>
      </w:r>
      <w:r w:rsidR="006A3E67">
        <w:rPr>
          <w:rFonts w:cstheme="minorHAnsi"/>
          <w:b/>
        </w:rPr>
        <w:t>ew addition for Section 3 SOPs for work with hazardous chemicals</w:t>
      </w:r>
    </w:p>
    <w:p w:rsidR="00C7265C" w:rsidRDefault="00C7265C" w:rsidP="00C7265C">
      <w:pPr>
        <w:rPr>
          <w:b/>
          <w:bCs/>
        </w:rPr>
      </w:pPr>
      <w:r>
        <w:rPr>
          <w:b/>
          <w:bCs/>
        </w:rPr>
        <w:t>3.10 Special Precautions for Work with Cytotoxic Drugs</w:t>
      </w:r>
    </w:p>
    <w:p w:rsidR="00C7265C" w:rsidRDefault="00C7265C" w:rsidP="00C7265C">
      <w:r>
        <w:t xml:space="preserve">Cytotoxic drugs (sometimes known as </w:t>
      </w:r>
      <w:proofErr w:type="spellStart"/>
      <w:r>
        <w:t>antineoplastics</w:t>
      </w:r>
      <w:proofErr w:type="spellEnd"/>
      <w:r>
        <w:t>) describe a group of chemicals which are toxic to cells, preventing their replication or growth. They are frequently used to treat cancer. It is recommended that any work with cytotoxic powders be carried out in an exhaus</w:t>
      </w:r>
      <w:r w:rsidR="006A3E67">
        <w:t>ted biological safety cabinet (</w:t>
      </w:r>
      <w:r>
        <w:t xml:space="preserve">either a Class II A2 with a thimble connection or Class II B2). For any work with </w:t>
      </w:r>
      <w:proofErr w:type="spellStart"/>
      <w:r>
        <w:t>cytotoxics</w:t>
      </w:r>
      <w:proofErr w:type="spellEnd"/>
      <w:r>
        <w:t xml:space="preserve"> that are volatile it is recommended that any work be carried out in a Class II B2 biological safety cabinet. </w:t>
      </w:r>
    </w:p>
    <w:p w:rsidR="00FD29E6" w:rsidRPr="00FD29E6" w:rsidRDefault="00FD29E6" w:rsidP="007078A0">
      <w:pPr>
        <w:rPr>
          <w:rFonts w:cstheme="minorHAnsi"/>
          <w:b/>
        </w:rPr>
      </w:pPr>
      <w:r w:rsidRPr="00FD29E6">
        <w:rPr>
          <w:rFonts w:cstheme="minorHAnsi"/>
          <w:b/>
        </w:rPr>
        <w:t>P. 35 Part II</w:t>
      </w:r>
    </w:p>
    <w:p w:rsidR="00B772B5" w:rsidRPr="00FD29E6" w:rsidRDefault="00B772B5" w:rsidP="005E6221">
      <w:pPr>
        <w:pStyle w:val="CHP32"/>
        <w:numPr>
          <w:ilvl w:val="2"/>
          <w:numId w:val="16"/>
        </w:numPr>
        <w:rPr>
          <w:rFonts w:asciiTheme="minorHAnsi" w:hAnsiTheme="minorHAnsi" w:cstheme="minorHAnsi"/>
          <w:sz w:val="22"/>
          <w:szCs w:val="22"/>
        </w:rPr>
      </w:pPr>
      <w:r w:rsidRPr="00FD29E6">
        <w:rPr>
          <w:rFonts w:asciiTheme="minorHAnsi" w:hAnsiTheme="minorHAnsi" w:cstheme="minorHAnsi"/>
          <w:sz w:val="22"/>
          <w:szCs w:val="22"/>
        </w:rPr>
        <w:t>Fire Extinguishers</w:t>
      </w:r>
    </w:p>
    <w:p w:rsidR="005E6221" w:rsidRPr="005E6221" w:rsidRDefault="005E6221" w:rsidP="005E6221">
      <w:pPr>
        <w:rPr>
          <w:rFonts w:cstheme="minorHAnsi"/>
          <w:b/>
        </w:rPr>
      </w:pPr>
      <w:r w:rsidRPr="005E6221">
        <w:rPr>
          <w:rFonts w:cstheme="minorHAnsi"/>
          <w:b/>
        </w:rPr>
        <w:t>New Wording</w:t>
      </w:r>
    </w:p>
    <w:p w:rsidR="00B772B5" w:rsidRPr="00FD29E6" w:rsidRDefault="005E6221" w:rsidP="00B772B5">
      <w:pPr>
        <w:rPr>
          <w:rFonts w:cstheme="minorHAnsi"/>
        </w:rPr>
      </w:pPr>
      <w:r>
        <w:rPr>
          <w:rFonts w:cstheme="minorHAnsi"/>
          <w:spacing w:val="-5"/>
        </w:rPr>
        <w:t>…..</w:t>
      </w:r>
      <w:r w:rsidR="00B772B5" w:rsidRPr="00FD29E6">
        <w:rPr>
          <w:rFonts w:cstheme="minorHAnsi"/>
          <w:spacing w:val="-5"/>
        </w:rPr>
        <w:t> </w:t>
      </w:r>
      <w:r w:rsidR="00B772B5" w:rsidRPr="00FD29E6">
        <w:rPr>
          <w:rFonts w:cstheme="minorHAnsi"/>
        </w:rPr>
        <w:t xml:space="preserve">It is MIT policy that laboratory personnel are not required to extinguish fires that occur in their work areas and are not permitted to use fire extinguishers unless properly trained.  To be trained, researchers may attend the Fire Extinguisher Familiarization Course offered by EHS.  Always activate the nearest fire alarm pull station before attempting to use a portable fire extinguisher. Refer to MIT’s standard operating procedure on Portable Fire Extinguishers available at </w:t>
      </w:r>
      <w:hyperlink r:id="rId7" w:history="1">
        <w:r w:rsidR="00B772B5" w:rsidRPr="00FD29E6">
          <w:rPr>
            <w:rStyle w:val="Hyperlink"/>
            <w:rFonts w:cstheme="minorHAnsi"/>
          </w:rPr>
          <w:t>http://ehs.mit.edu/site/sops</w:t>
        </w:r>
      </w:hyperlink>
      <w:r w:rsidR="00B772B5" w:rsidRPr="00FD29E6">
        <w:rPr>
          <w:rFonts w:cstheme="minorHAnsi"/>
        </w:rPr>
        <w:t xml:space="preserve"> for additional information.  Any time a fire extinguisher is used, it should be reported to the MIT Operations Center (x3-1500) or EHS (2-3477 </w:t>
      </w:r>
    </w:p>
    <w:p w:rsidR="006A3E67" w:rsidRDefault="006A3E67" w:rsidP="007078A0">
      <w:pPr>
        <w:rPr>
          <w:rFonts w:cstheme="minorHAnsi"/>
          <w:b/>
        </w:rPr>
      </w:pPr>
    </w:p>
    <w:p w:rsidR="00B772B5" w:rsidRPr="005E6221" w:rsidRDefault="003A2717" w:rsidP="007078A0">
      <w:pPr>
        <w:rPr>
          <w:rFonts w:cstheme="minorHAnsi"/>
          <w:b/>
        </w:rPr>
      </w:pPr>
      <w:r w:rsidRPr="005E6221">
        <w:rPr>
          <w:rFonts w:cstheme="minorHAnsi"/>
          <w:b/>
        </w:rPr>
        <w:lastRenderedPageBreak/>
        <w:t>Old Wording</w:t>
      </w:r>
    </w:p>
    <w:p w:rsidR="00FD29E6" w:rsidRPr="00FD29E6" w:rsidRDefault="005E6221" w:rsidP="003A2717">
      <w:pPr>
        <w:rPr>
          <w:rFonts w:cstheme="minorHAnsi"/>
        </w:rPr>
      </w:pPr>
      <w:r>
        <w:rPr>
          <w:rFonts w:cstheme="minorHAnsi"/>
        </w:rPr>
        <w:t>……</w:t>
      </w:r>
      <w:r w:rsidR="003A2717" w:rsidRPr="00FD29E6">
        <w:rPr>
          <w:rFonts w:cstheme="minorHAnsi"/>
        </w:rPr>
        <w:t xml:space="preserve">It is MIT policy that personnel are not required to extinguish fires that occur in their work areas. Researchers are not permitted to use fire extinguishers unless they have attended a Fire Extinguisher Training Session presented by the MIT EHS Office.  Refer to MIT’s standard operating procedure on Portable Fire Extinguishers available at </w:t>
      </w:r>
      <w:hyperlink r:id="rId8" w:history="1">
        <w:r w:rsidR="003A2717" w:rsidRPr="00FD29E6">
          <w:rPr>
            <w:rStyle w:val="Hyperlink"/>
            <w:rFonts w:cstheme="minorHAnsi"/>
          </w:rPr>
          <w:t>http://ehs.mit.edu/site/sops</w:t>
        </w:r>
      </w:hyperlink>
      <w:r w:rsidR="003A2717" w:rsidRPr="00FD29E6">
        <w:rPr>
          <w:rFonts w:cstheme="minorHAnsi"/>
        </w:rPr>
        <w:t xml:space="preserve">  Any time a fire extinguisher is used, no matter for how brief a period, it should be inspected and recharged.  </w:t>
      </w:r>
    </w:p>
    <w:p w:rsidR="00DD4777" w:rsidRPr="00FD29E6" w:rsidRDefault="003A2717" w:rsidP="00DD4777">
      <w:pPr>
        <w:rPr>
          <w:rFonts w:cstheme="minorHAnsi"/>
          <w:b/>
        </w:rPr>
      </w:pPr>
      <w:r w:rsidRPr="00FD29E6">
        <w:rPr>
          <w:rFonts w:cstheme="minorHAnsi"/>
        </w:rPr>
        <w:t xml:space="preserve"> </w:t>
      </w:r>
      <w:r w:rsidR="007330AD">
        <w:rPr>
          <w:rFonts w:cstheme="minorHAnsi"/>
          <w:b/>
        </w:rPr>
        <w:t>p. 50</w:t>
      </w:r>
      <w:r w:rsidR="00DD4777" w:rsidRPr="00FD29E6">
        <w:rPr>
          <w:rFonts w:cstheme="minorHAnsi"/>
          <w:b/>
        </w:rPr>
        <w:t xml:space="preserve"> Part IV Section 2.1 Laboratory and Chemical Security</w:t>
      </w:r>
    </w:p>
    <w:p w:rsidR="00DD4777" w:rsidRPr="005E6221" w:rsidRDefault="00DD4777" w:rsidP="00DD4777">
      <w:pPr>
        <w:rPr>
          <w:rFonts w:cstheme="minorHAnsi"/>
          <w:b/>
        </w:rPr>
      </w:pPr>
      <w:r w:rsidRPr="005E6221">
        <w:rPr>
          <w:rFonts w:cstheme="minorHAnsi"/>
          <w:b/>
        </w:rPr>
        <w:t>New Wording</w:t>
      </w:r>
    </w:p>
    <w:p w:rsidR="00DD4777" w:rsidRPr="00FD29E6" w:rsidRDefault="00DD4777" w:rsidP="00DD4777">
      <w:pPr>
        <w:rPr>
          <w:rFonts w:cstheme="minorHAnsi"/>
        </w:rPr>
      </w:pPr>
      <w:r w:rsidRPr="00FD29E6">
        <w:rPr>
          <w:rFonts w:cstheme="minorHAnsi"/>
        </w:rPr>
        <w:t xml:space="preserve">1.  Through the Committee on Toxic Chemicals it is a requirement to maintain a chemical inventory. Hazardous chemicals include chemicals for which there is statistically significant evidence of health effects following exposure as well as flammable and explosive substances. The use of MIT's centrally provided chemical inventory platform which is supported by EHS is strongly recommended. For more information please visit </w:t>
      </w:r>
      <w:hyperlink r:id="rId9" w:history="1">
        <w:r w:rsidRPr="00FD29E6">
          <w:rPr>
            <w:rStyle w:val="Hyperlink"/>
            <w:rFonts w:cstheme="minorHAnsi"/>
          </w:rPr>
          <w:t>https://ehs.mit.edu/site/chemical-safety/chemical-inventory</w:t>
        </w:r>
      </w:hyperlink>
      <w:r w:rsidRPr="00FD29E6">
        <w:rPr>
          <w:rFonts w:cstheme="minorHAnsi"/>
        </w:rPr>
        <w:t>  or by calling 2-3477.)</w:t>
      </w:r>
    </w:p>
    <w:p w:rsidR="00DD4777" w:rsidRPr="005E6221" w:rsidRDefault="00DD4777" w:rsidP="00DD4777">
      <w:pPr>
        <w:rPr>
          <w:rFonts w:cstheme="minorHAnsi"/>
          <w:b/>
        </w:rPr>
      </w:pPr>
      <w:r w:rsidRPr="005E6221">
        <w:rPr>
          <w:rFonts w:cstheme="minorHAnsi"/>
        </w:rPr>
        <w:t> </w:t>
      </w:r>
      <w:r w:rsidRPr="005E6221">
        <w:rPr>
          <w:rFonts w:cstheme="minorHAnsi"/>
          <w:b/>
        </w:rPr>
        <w:t>Old wording</w:t>
      </w:r>
    </w:p>
    <w:p w:rsidR="00DD4777" w:rsidRPr="00FD29E6" w:rsidRDefault="00DD4777" w:rsidP="00DD4777">
      <w:pPr>
        <w:rPr>
          <w:rFonts w:cstheme="minorHAnsi"/>
        </w:rPr>
      </w:pPr>
      <w:r w:rsidRPr="00FD29E6">
        <w:rPr>
          <w:rFonts w:cstheme="minorHAnsi"/>
        </w:rPr>
        <w:t xml:space="preserve">1.  Through the Committee on Toxic Chemicals it is a requirement to maintain a chemical inventory. Hazardous chemicals include chemicals for which there is statistically significant evidence of health effects following exposure as well as flammable and explosive substances. The use of MIT's centrally provided chemical inventory platform is strongly recommended. Effective </w:t>
      </w:r>
      <w:proofErr w:type="gramStart"/>
      <w:r w:rsidRPr="00FD29E6">
        <w:rPr>
          <w:rFonts w:cstheme="minorHAnsi"/>
        </w:rPr>
        <w:t>Spring</w:t>
      </w:r>
      <w:proofErr w:type="gramEnd"/>
      <w:r w:rsidRPr="00FD29E6">
        <w:rPr>
          <w:rFonts w:cstheme="minorHAnsi"/>
        </w:rPr>
        <w:t xml:space="preserve"> 2015 MIT will be migrating to a new platform which offers more features and functionality. The platform is called </w:t>
      </w:r>
      <w:proofErr w:type="spellStart"/>
      <w:r w:rsidRPr="00FD29E6">
        <w:rPr>
          <w:rFonts w:cstheme="minorHAnsi"/>
        </w:rPr>
        <w:t>CISPro</w:t>
      </w:r>
      <w:proofErr w:type="spellEnd"/>
      <w:r w:rsidRPr="00FD29E6">
        <w:rPr>
          <w:rFonts w:cstheme="minorHAnsi"/>
        </w:rPr>
        <w:t xml:space="preserve"> Cloud. For more information please visit </w:t>
      </w:r>
      <w:hyperlink r:id="rId10" w:history="1">
        <w:r w:rsidRPr="00FD29E6">
          <w:rPr>
            <w:rStyle w:val="Hyperlink"/>
            <w:rFonts w:cstheme="minorHAnsi"/>
          </w:rPr>
          <w:t>https://ehs.mit.edu/site/chemical-safety/chemical-inventory</w:t>
        </w:r>
      </w:hyperlink>
      <w:r w:rsidRPr="00FD29E6">
        <w:rPr>
          <w:rFonts w:cstheme="minorHAnsi"/>
        </w:rPr>
        <w:t>  or by calling 2-3477.)</w:t>
      </w:r>
    </w:p>
    <w:p w:rsidR="005A08BD" w:rsidRPr="00FD29E6" w:rsidRDefault="005A08BD" w:rsidP="007078A0">
      <w:pPr>
        <w:rPr>
          <w:rFonts w:cstheme="minorHAnsi"/>
        </w:rPr>
      </w:pPr>
    </w:p>
    <w:p w:rsidR="005A08BD" w:rsidRPr="00FD29E6" w:rsidRDefault="005A08BD" w:rsidP="005A08BD">
      <w:pPr>
        <w:rPr>
          <w:rFonts w:cstheme="minorHAnsi"/>
        </w:rPr>
      </w:pPr>
    </w:p>
    <w:sectPr w:rsidR="005A08BD" w:rsidRPr="00FD29E6" w:rsidSect="007541A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D8F"/>
    <w:multiLevelType w:val="multilevel"/>
    <w:tmpl w:val="78060078"/>
    <w:lvl w:ilvl="0">
      <w:start w:val="5"/>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6966FEC"/>
    <w:multiLevelType w:val="multilevel"/>
    <w:tmpl w:val="33721422"/>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 w15:restartNumberingAfterBreak="0">
    <w:nsid w:val="3255213D"/>
    <w:multiLevelType w:val="multilevel"/>
    <w:tmpl w:val="B96044D2"/>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B7716B1"/>
    <w:multiLevelType w:val="hybridMultilevel"/>
    <w:tmpl w:val="62F27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7C3B23"/>
    <w:multiLevelType w:val="multilevel"/>
    <w:tmpl w:val="BC78D05A"/>
    <w:lvl w:ilvl="0">
      <w:start w:val="5"/>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856DE3"/>
    <w:multiLevelType w:val="hybridMultilevel"/>
    <w:tmpl w:val="66B83F5C"/>
    <w:lvl w:ilvl="0" w:tplc="ABB61950">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C0B45"/>
    <w:multiLevelType w:val="multilevel"/>
    <w:tmpl w:val="11625BB8"/>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F5D3CB5"/>
    <w:multiLevelType w:val="multilevel"/>
    <w:tmpl w:val="84180E4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63D073F5"/>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DB453F0"/>
    <w:multiLevelType w:val="multilevel"/>
    <w:tmpl w:val="33721422"/>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6F9C77C6"/>
    <w:multiLevelType w:val="hybridMultilevel"/>
    <w:tmpl w:val="62D29F92"/>
    <w:lvl w:ilvl="0" w:tplc="EB4C4506">
      <w:start w:val="2018"/>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72AD2D60"/>
    <w:multiLevelType w:val="hybridMultilevel"/>
    <w:tmpl w:val="6492C12C"/>
    <w:lvl w:ilvl="0" w:tplc="E410C978">
      <w:start w:val="1"/>
      <w:numFmt w:val="upperLetter"/>
      <w:pStyle w:val="CHP5"/>
      <w:lvlText w:val="%1."/>
      <w:lvlJc w:val="left"/>
      <w:pPr>
        <w:tabs>
          <w:tab w:val="num" w:pos="900"/>
        </w:tabs>
        <w:ind w:left="900" w:hanging="360"/>
      </w:pPr>
      <w:rPr>
        <w:rFonts w:hint="default"/>
      </w:rPr>
    </w:lvl>
    <w:lvl w:ilvl="1" w:tplc="5BA651AC">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7AF0241B"/>
    <w:multiLevelType w:val="hybridMultilevel"/>
    <w:tmpl w:val="9FE6BA0C"/>
    <w:lvl w:ilvl="0" w:tplc="B0E27E3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9"/>
  </w:num>
  <w:num w:numId="13">
    <w:abstractNumId w:val="1"/>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2B"/>
    <w:rsid w:val="0004656F"/>
    <w:rsid w:val="00072A17"/>
    <w:rsid w:val="00084398"/>
    <w:rsid w:val="000F307C"/>
    <w:rsid w:val="000F3321"/>
    <w:rsid w:val="000F404A"/>
    <w:rsid w:val="000F44DE"/>
    <w:rsid w:val="00103332"/>
    <w:rsid w:val="00157417"/>
    <w:rsid w:val="00182A87"/>
    <w:rsid w:val="00247B93"/>
    <w:rsid w:val="002F3C68"/>
    <w:rsid w:val="00324241"/>
    <w:rsid w:val="0038181E"/>
    <w:rsid w:val="00387042"/>
    <w:rsid w:val="003A2717"/>
    <w:rsid w:val="003D098B"/>
    <w:rsid w:val="00405549"/>
    <w:rsid w:val="005A08BD"/>
    <w:rsid w:val="005D0E63"/>
    <w:rsid w:val="005E6221"/>
    <w:rsid w:val="006720B1"/>
    <w:rsid w:val="006A3E67"/>
    <w:rsid w:val="007078A0"/>
    <w:rsid w:val="00726DAB"/>
    <w:rsid w:val="007330AD"/>
    <w:rsid w:val="007541A9"/>
    <w:rsid w:val="00834861"/>
    <w:rsid w:val="00842403"/>
    <w:rsid w:val="00883A43"/>
    <w:rsid w:val="008A4057"/>
    <w:rsid w:val="009F74D1"/>
    <w:rsid w:val="00A25784"/>
    <w:rsid w:val="00A63B07"/>
    <w:rsid w:val="00AA6D1F"/>
    <w:rsid w:val="00B0755C"/>
    <w:rsid w:val="00B26461"/>
    <w:rsid w:val="00B377B9"/>
    <w:rsid w:val="00B772B5"/>
    <w:rsid w:val="00B8142B"/>
    <w:rsid w:val="00B94606"/>
    <w:rsid w:val="00BB0750"/>
    <w:rsid w:val="00C7265C"/>
    <w:rsid w:val="00CD48D5"/>
    <w:rsid w:val="00DC0699"/>
    <w:rsid w:val="00DC3422"/>
    <w:rsid w:val="00DD4777"/>
    <w:rsid w:val="00E6086F"/>
    <w:rsid w:val="00E7514F"/>
    <w:rsid w:val="00E84F53"/>
    <w:rsid w:val="00F31DEB"/>
    <w:rsid w:val="00F870D7"/>
    <w:rsid w:val="00FD29E6"/>
    <w:rsid w:val="00FF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60D7A-32BD-4114-A256-6C59CCF2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4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06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0699"/>
    <w:rPr>
      <w:rFonts w:ascii="Calibri" w:hAnsi="Calibri"/>
      <w:szCs w:val="21"/>
    </w:rPr>
  </w:style>
  <w:style w:type="paragraph" w:customStyle="1" w:styleId="Default">
    <w:name w:val="Default"/>
    <w:rsid w:val="00DC0699"/>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9F74D1"/>
    <w:rPr>
      <w:color w:val="000088"/>
      <w:u w:val="single"/>
    </w:rPr>
  </w:style>
  <w:style w:type="paragraph" w:customStyle="1" w:styleId="CHP5">
    <w:name w:val="CHP5"/>
    <w:basedOn w:val="Normal"/>
    <w:rsid w:val="00AA6D1F"/>
    <w:pPr>
      <w:numPr>
        <w:numId w:val="1"/>
      </w:numPr>
      <w:spacing w:after="0" w:line="240" w:lineRule="auto"/>
    </w:pPr>
    <w:rPr>
      <w:rFonts w:ascii="Arial" w:eastAsia="Times New Roman" w:hAnsi="Arial" w:cs="Times New Roman"/>
      <w:spacing w:val="-5"/>
      <w:sz w:val="20"/>
      <w:szCs w:val="20"/>
    </w:rPr>
  </w:style>
  <w:style w:type="character" w:customStyle="1" w:styleId="apple-style-span">
    <w:name w:val="apple-style-span"/>
    <w:basedOn w:val="DefaultParagraphFont"/>
    <w:rsid w:val="00405549"/>
  </w:style>
  <w:style w:type="paragraph" w:styleId="BalloonText">
    <w:name w:val="Balloon Text"/>
    <w:basedOn w:val="Normal"/>
    <w:link w:val="BalloonTextChar"/>
    <w:uiPriority w:val="99"/>
    <w:semiHidden/>
    <w:unhideWhenUsed/>
    <w:rsid w:val="00E75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14F"/>
    <w:rPr>
      <w:rFonts w:ascii="Segoe UI" w:hAnsi="Segoe UI" w:cs="Segoe UI"/>
      <w:sz w:val="18"/>
      <w:szCs w:val="18"/>
    </w:rPr>
  </w:style>
  <w:style w:type="paragraph" w:customStyle="1" w:styleId="CHP3">
    <w:name w:val="CHP3"/>
    <w:basedOn w:val="Normal"/>
    <w:rsid w:val="00182A87"/>
    <w:pPr>
      <w:autoSpaceDE w:val="0"/>
      <w:autoSpaceDN w:val="0"/>
      <w:adjustRightInd w:val="0"/>
      <w:spacing w:after="0" w:line="240" w:lineRule="auto"/>
    </w:pPr>
    <w:rPr>
      <w:rFonts w:ascii="Arial" w:eastAsia="Times New Roman" w:hAnsi="Arial" w:cs="Times New Roman"/>
      <w:b/>
      <w:bCs/>
      <w:spacing w:val="-5"/>
      <w:sz w:val="20"/>
      <w:szCs w:val="20"/>
    </w:rPr>
  </w:style>
  <w:style w:type="paragraph" w:customStyle="1" w:styleId="CHP2">
    <w:name w:val="CHP2"/>
    <w:basedOn w:val="Normal"/>
    <w:rsid w:val="00BB0750"/>
    <w:pPr>
      <w:autoSpaceDE w:val="0"/>
      <w:autoSpaceDN w:val="0"/>
      <w:adjustRightInd w:val="0"/>
      <w:spacing w:after="0" w:line="240" w:lineRule="auto"/>
    </w:pPr>
    <w:rPr>
      <w:rFonts w:ascii="Arial" w:eastAsia="Times New Roman" w:hAnsi="Arial" w:cs="Times New Roman"/>
      <w:b/>
      <w:bCs/>
      <w:spacing w:val="-5"/>
      <w:sz w:val="20"/>
      <w:szCs w:val="20"/>
    </w:rPr>
  </w:style>
  <w:style w:type="paragraph" w:styleId="ListParagraph">
    <w:name w:val="List Paragraph"/>
    <w:basedOn w:val="Normal"/>
    <w:uiPriority w:val="34"/>
    <w:qFormat/>
    <w:rsid w:val="00BB0750"/>
    <w:pPr>
      <w:ind w:left="720"/>
      <w:contextualSpacing/>
    </w:pPr>
  </w:style>
  <w:style w:type="paragraph" w:customStyle="1" w:styleId="CHP1">
    <w:name w:val="CHP1"/>
    <w:basedOn w:val="Normal"/>
    <w:rsid w:val="00BB0750"/>
    <w:pPr>
      <w:autoSpaceDE w:val="0"/>
      <w:autoSpaceDN w:val="0"/>
      <w:adjustRightInd w:val="0"/>
      <w:spacing w:after="0" w:line="240" w:lineRule="auto"/>
    </w:pPr>
    <w:rPr>
      <w:rFonts w:ascii="Arial" w:eastAsia="Times New Roman" w:hAnsi="Arial" w:cs="Times New Roman"/>
      <w:b/>
      <w:bCs/>
      <w:spacing w:val="-5"/>
      <w:sz w:val="28"/>
      <w:szCs w:val="28"/>
    </w:rPr>
  </w:style>
  <w:style w:type="character" w:styleId="FollowedHyperlink">
    <w:name w:val="FollowedHyperlink"/>
    <w:basedOn w:val="DefaultParagraphFont"/>
    <w:uiPriority w:val="99"/>
    <w:semiHidden/>
    <w:unhideWhenUsed/>
    <w:rsid w:val="0038181E"/>
    <w:rPr>
      <w:color w:val="954F72" w:themeColor="followedHyperlink"/>
      <w:u w:val="single"/>
    </w:rPr>
  </w:style>
  <w:style w:type="paragraph" w:customStyle="1" w:styleId="Picture">
    <w:name w:val="Picture"/>
    <w:basedOn w:val="Normal"/>
    <w:rsid w:val="00B772B5"/>
    <w:pPr>
      <w:keepNext/>
      <w:spacing w:after="0" w:line="240" w:lineRule="auto"/>
      <w:ind w:left="1080"/>
    </w:pPr>
    <w:rPr>
      <w:rFonts w:ascii="Arial" w:hAnsi="Arial" w:cs="Arial"/>
      <w:spacing w:val="-5"/>
      <w:sz w:val="20"/>
      <w:szCs w:val="20"/>
    </w:rPr>
  </w:style>
  <w:style w:type="paragraph" w:customStyle="1" w:styleId="CHP32">
    <w:name w:val="CHP32"/>
    <w:basedOn w:val="Normal"/>
    <w:rsid w:val="00B772B5"/>
    <w:pPr>
      <w:autoSpaceDE w:val="0"/>
      <w:autoSpaceDN w:val="0"/>
      <w:spacing w:after="0" w:line="240" w:lineRule="auto"/>
    </w:pPr>
    <w:rPr>
      <w:rFonts w:ascii="Arial" w:hAnsi="Arial" w:cs="Arial"/>
      <w:b/>
      <w:bC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1689">
      <w:bodyDiv w:val="1"/>
      <w:marLeft w:val="0"/>
      <w:marRight w:val="0"/>
      <w:marTop w:val="0"/>
      <w:marBottom w:val="0"/>
      <w:divBdr>
        <w:top w:val="none" w:sz="0" w:space="0" w:color="auto"/>
        <w:left w:val="none" w:sz="0" w:space="0" w:color="auto"/>
        <w:bottom w:val="none" w:sz="0" w:space="0" w:color="auto"/>
        <w:right w:val="none" w:sz="0" w:space="0" w:color="auto"/>
      </w:divBdr>
    </w:div>
    <w:div w:id="551625031">
      <w:bodyDiv w:val="1"/>
      <w:marLeft w:val="0"/>
      <w:marRight w:val="0"/>
      <w:marTop w:val="0"/>
      <w:marBottom w:val="0"/>
      <w:divBdr>
        <w:top w:val="none" w:sz="0" w:space="0" w:color="auto"/>
        <w:left w:val="none" w:sz="0" w:space="0" w:color="auto"/>
        <w:bottom w:val="none" w:sz="0" w:space="0" w:color="auto"/>
        <w:right w:val="none" w:sz="0" w:space="0" w:color="auto"/>
      </w:divBdr>
    </w:div>
    <w:div w:id="612977950">
      <w:bodyDiv w:val="1"/>
      <w:marLeft w:val="0"/>
      <w:marRight w:val="0"/>
      <w:marTop w:val="0"/>
      <w:marBottom w:val="0"/>
      <w:divBdr>
        <w:top w:val="none" w:sz="0" w:space="0" w:color="auto"/>
        <w:left w:val="none" w:sz="0" w:space="0" w:color="auto"/>
        <w:bottom w:val="none" w:sz="0" w:space="0" w:color="auto"/>
        <w:right w:val="none" w:sz="0" w:space="0" w:color="auto"/>
      </w:divBdr>
    </w:div>
    <w:div w:id="1477263414">
      <w:bodyDiv w:val="1"/>
      <w:marLeft w:val="0"/>
      <w:marRight w:val="0"/>
      <w:marTop w:val="0"/>
      <w:marBottom w:val="0"/>
      <w:divBdr>
        <w:top w:val="none" w:sz="0" w:space="0" w:color="auto"/>
        <w:left w:val="none" w:sz="0" w:space="0" w:color="auto"/>
        <w:bottom w:val="none" w:sz="0" w:space="0" w:color="auto"/>
        <w:right w:val="none" w:sz="0" w:space="0" w:color="auto"/>
      </w:divBdr>
    </w:div>
    <w:div w:id="1527209867">
      <w:bodyDiv w:val="1"/>
      <w:marLeft w:val="0"/>
      <w:marRight w:val="0"/>
      <w:marTop w:val="0"/>
      <w:marBottom w:val="0"/>
      <w:divBdr>
        <w:top w:val="none" w:sz="0" w:space="0" w:color="auto"/>
        <w:left w:val="none" w:sz="0" w:space="0" w:color="auto"/>
        <w:bottom w:val="none" w:sz="0" w:space="0" w:color="auto"/>
        <w:right w:val="none" w:sz="0" w:space="0" w:color="auto"/>
      </w:divBdr>
    </w:div>
    <w:div w:id="1781149166">
      <w:bodyDiv w:val="1"/>
      <w:marLeft w:val="0"/>
      <w:marRight w:val="0"/>
      <w:marTop w:val="0"/>
      <w:marBottom w:val="0"/>
      <w:divBdr>
        <w:top w:val="none" w:sz="0" w:space="0" w:color="auto"/>
        <w:left w:val="none" w:sz="0" w:space="0" w:color="auto"/>
        <w:bottom w:val="none" w:sz="0" w:space="0" w:color="auto"/>
        <w:right w:val="none" w:sz="0" w:space="0" w:color="auto"/>
      </w:divBdr>
    </w:div>
    <w:div w:id="202763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mit.edu/site/sops" TargetMode="External"/><Relationship Id="rId3" Type="http://schemas.openxmlformats.org/officeDocument/2006/relationships/settings" Target="settings.xml"/><Relationship Id="rId7" Type="http://schemas.openxmlformats.org/officeDocument/2006/relationships/hyperlink" Target="http://ehs.mit.edu/site/so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hs.mit.edu/site/refrigerators-safe-flammable-storage" TargetMode="External"/><Relationship Id="rId11" Type="http://schemas.openxmlformats.org/officeDocument/2006/relationships/fontTable" Target="fontTable.xml"/><Relationship Id="rId5" Type="http://schemas.openxmlformats.org/officeDocument/2006/relationships/hyperlink" Target="https://ehs.mit.edu/site/chemical-safety/chemical-hygiene-program/plan-template" TargetMode="External"/><Relationship Id="rId10" Type="http://schemas.openxmlformats.org/officeDocument/2006/relationships/hyperlink" Target="https://ehs.mit.edu/site/chemical-safety/chemical-inventory" TargetMode="External"/><Relationship Id="rId4" Type="http://schemas.openxmlformats.org/officeDocument/2006/relationships/webSettings" Target="webSettings.xml"/><Relationship Id="rId9" Type="http://schemas.openxmlformats.org/officeDocument/2006/relationships/hyperlink" Target="https://ehs.mit.edu/site/chemical-safety/chemical-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redwards</dc:creator>
  <cp:keywords/>
  <dc:description/>
  <cp:lastModifiedBy>benmac</cp:lastModifiedBy>
  <cp:revision>2</cp:revision>
  <cp:lastPrinted>2018-06-07T14:28:00Z</cp:lastPrinted>
  <dcterms:created xsi:type="dcterms:W3CDTF">2019-10-04T17:33:00Z</dcterms:created>
  <dcterms:modified xsi:type="dcterms:W3CDTF">2019-10-04T17:33:00Z</dcterms:modified>
</cp:coreProperties>
</file>